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1152000" cy="11342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Зна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34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Конспект лекций</w:t>
      </w:r>
    </w:p>
    <w:p>
      <w:pPr>
        <w:spacing w:after="140" w:line="264" w:lineRule="auto"/>
      </w:pPr>
      <w:r>
        <w:rPr>
          <w:rFonts w:ascii="Arial" w:hAnsi="Arial" w:cs="Arial" w:eastAsia="Arial"/>
          <w:b/>
          <w:color w:val="24873D"/>
          <w:sz w:val="36"/>
        </w:rPr>
        <w:t>Флагманы СПО</w:t>
      </w:r>
    </w:p>
    <w:p>
      <w:pPr>
        <w:spacing w:after="240" w:line="264" w:lineRule="auto"/>
      </w:pPr>
      <w:r>
        <w:rPr>
          <w:rFonts w:ascii="Arial" w:hAnsi="Arial" w:cs="Arial" w:eastAsia="Arial"/>
          <w:b w:val="0"/>
          <w:color w:val="0A233D"/>
          <w:sz w:val="26"/>
        </w:rPr>
        <w:t>Рабочая тетрадь по программе</w:t>
        <w:br/>
        <w:t>Технологическое лидерство</w:t>
        <w:br/>
        <w:t>Красноярский край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2592924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2924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line="264" w:lineRule="auto"/>
      </w:pPr>
      <w:r>
        <w:rPr>
          <w:rFonts w:ascii="Arial" w:hAnsi="Arial" w:cs="Arial" w:eastAsia="Arial"/>
          <w:b/>
          <w:color w:val="0A233D"/>
          <w:sz w:val="30"/>
        </w:rPr>
        <w:t>Трансформация профессиональной образовательной организации</w:t>
      </w:r>
    </w:p>
    <w:p>
      <w:pPr>
        <w:spacing w:after="340" w:line="264" w:lineRule="auto"/>
      </w:pPr>
      <w:r>
        <w:rPr>
          <w:rFonts w:ascii="Arial" w:hAnsi="Arial" w:cs="Arial" w:eastAsia="Arial"/>
          <w:b w:val="0"/>
          <w:color w:val="59666E"/>
          <w:sz w:val="24"/>
        </w:rPr>
        <w:t>Стратегия, экосистема, технологии и кадры</w:t>
      </w:r>
    </w:p>
    <w:p>
      <w:pPr>
        <w:spacing w:after="2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Имя и фамилия ______________________________________</w:t>
      </w:r>
    </w:p>
    <w:p>
      <w:pPr>
        <w:spacing w:after="2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Колледж ___________________________________________</w:t>
      </w:r>
    </w:p>
    <w:p>
      <w:pPr>
        <w:spacing w:after="2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Команда ___________________________________________</w:t>
      </w:r>
    </w:p>
    <w:p>
      <w:pPr>
        <w:spacing w:after="100" w:line="264" w:lineRule="auto"/>
      </w:pPr>
      <w:r>
        <w:rPr>
          <w:rFonts w:ascii="Arial" w:hAnsi="Arial" w:cs="Arial" w:eastAsia="Arial"/>
          <w:b w:val="0"/>
          <w:color w:val="59666E"/>
          <w:sz w:val="20"/>
        </w:rPr>
        <w:t>2026–2027</w:t>
      </w:r>
    </w:p>
    <w:p>
      <w:r>
        <w:br w:type="page"/>
      </w:r>
    </w:p>
    <w:p>
      <w:pPr>
        <w:pStyle w:val="Heading1"/>
      </w:pPr>
      <w:r>
        <w:t>Как вести конспект</w:t>
      </w:r>
    </w:p>
    <w:p>
      <w:pPr>
        <w:spacing w:after="1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Тетрадь помогает связать лекции и наблюдения на площадках с проектом вашего колледжа. По каждому модулю фиксируйте факты, вывод для своей темы и следующий шаг команды. Общий результат программы — описанный и проверенный формат работы, который может повторить другой колледж.</w:t>
      </w:r>
    </w:p>
    <w:p>
      <w:pPr>
        <w:pStyle w:val="Heading2"/>
      </w:pPr>
      <w:r>
        <w:t>Учебные модули</w:t>
      </w:r>
    </w:p>
    <w:p>
      <w:pPr>
        <w:spacing w:after="120" w:line="264" w:lineRule="auto"/>
      </w:pPr>
      <w:r>
        <w:rPr>
          <w:rFonts w:ascii="Arial" w:hAnsi="Arial" w:cs="Arial" w:eastAsia="Arial"/>
          <w:b/>
          <w:color w:val="0A233D"/>
          <w:sz w:val="22"/>
        </w:rPr>
        <w:t>01  Экономика Красноярского края и новая роль СПО</w:t>
      </w:r>
    </w:p>
    <w:p>
      <w:pPr>
        <w:spacing w:after="120" w:line="264" w:lineRule="auto"/>
      </w:pPr>
      <w:r>
        <w:rPr>
          <w:rFonts w:ascii="Arial" w:hAnsi="Arial" w:cs="Arial" w:eastAsia="Arial"/>
          <w:b/>
          <w:color w:val="0A233D"/>
          <w:sz w:val="22"/>
        </w:rPr>
        <w:t>02  СПО как часть экосистемы: школа - колледж - вуз - индустрия</w:t>
      </w:r>
    </w:p>
    <w:p>
      <w:pPr>
        <w:spacing w:after="120" w:line="264" w:lineRule="auto"/>
      </w:pPr>
      <w:r>
        <w:rPr>
          <w:rFonts w:ascii="Arial" w:hAnsi="Arial" w:cs="Arial" w:eastAsia="Arial"/>
          <w:b/>
          <w:color w:val="0A233D"/>
          <w:sz w:val="22"/>
        </w:rPr>
        <w:t>03  Передовые технологии для СПО: технологические пакеты</w:t>
      </w:r>
    </w:p>
    <w:p>
      <w:pPr>
        <w:spacing w:after="120" w:line="264" w:lineRule="auto"/>
      </w:pPr>
      <w:r>
        <w:rPr>
          <w:rFonts w:ascii="Arial" w:hAnsi="Arial" w:cs="Arial" w:eastAsia="Arial"/>
          <w:b/>
          <w:color w:val="0A233D"/>
          <w:sz w:val="22"/>
        </w:rPr>
        <w:t>04  Форматы взаимодействия: от разовых договоров к моделям партнерства</w:t>
      </w:r>
    </w:p>
    <w:p>
      <w:pPr>
        <w:spacing w:after="120" w:line="264" w:lineRule="auto"/>
      </w:pPr>
      <w:r>
        <w:rPr>
          <w:rFonts w:ascii="Arial" w:hAnsi="Arial" w:cs="Arial" w:eastAsia="Arial"/>
          <w:b/>
          <w:color w:val="0A233D"/>
          <w:sz w:val="22"/>
        </w:rPr>
        <w:t>05  Экономика и маркетинг: бережливый колледж, набор, устойчивость</w:t>
      </w:r>
    </w:p>
    <w:p>
      <w:pPr>
        <w:spacing w:after="120" w:line="264" w:lineRule="auto"/>
      </w:pPr>
      <w:r>
        <w:rPr>
          <w:rFonts w:ascii="Arial" w:hAnsi="Arial" w:cs="Arial" w:eastAsia="Arial"/>
          <w:b/>
          <w:color w:val="0A233D"/>
          <w:sz w:val="22"/>
        </w:rPr>
        <w:t>06  Кадры для СПО и финальная сборка дорожных карт</w:t>
      </w:r>
    </w:p>
    <w:p>
      <w:pPr>
        <w:pStyle w:val="Heading2"/>
      </w:pPr>
      <w:r>
        <w:t>Что сохранять после занятия</w:t>
      </w:r>
    </w:p>
    <w:p>
      <w:pPr>
        <w:spacing w:after="1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Тезис лектора и источник, по которому его можно проверить</w:t>
      </w:r>
    </w:p>
    <w:p>
      <w:pPr>
        <w:spacing w:after="1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Факт с предприятия или из колледжа, важный для темы</w:t>
      </w:r>
    </w:p>
    <w:p>
      <w:pPr>
        <w:spacing w:after="1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Следствие для границ проекта и образа результата</w:t>
      </w:r>
    </w:p>
    <w:p>
      <w:pPr>
        <w:spacing w:after="1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Вопрос партнёру и способ проверки гипотезы</w:t>
      </w:r>
    </w:p>
    <w:p>
      <w:pPr>
        <w:pStyle w:val="Heading2"/>
      </w:pPr>
      <w:r>
        <w:t>Моя проектная тема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pStyle w:val="Heading1"/>
      </w:pPr>
      <w:r>
        <w:t>Проектные темы программы</w:t>
      </w:r>
    </w:p>
    <w:p>
      <w:pPr>
        <w:pStyle w:val="Heading2"/>
      </w:pPr>
      <w:r>
        <w:t>01 Бережливый колледж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Хронометраж и перепроектирование процессов колледжа с проверкой на своей базе и переносом в другие колледжи.</w:t>
      </w:r>
    </w:p>
    <w:p>
      <w:pPr>
        <w:pStyle w:val="Heading2"/>
      </w:pPr>
      <w:r>
        <w:t>02 Искусственный интеллект в колледже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Применение ИИ в управлении и обучении с ясной ответственностью человека за подготовленное машиной решение.</w:t>
      </w:r>
    </w:p>
    <w:p>
      <w:pPr>
        <w:pStyle w:val="Heading2"/>
      </w:pPr>
      <w:r>
        <w:t>03 Межколледжный кампус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Совместное использование мастерских, оборудования и инфраструктуры с правилами доступа и расчётом экономики.</w:t>
      </w:r>
    </w:p>
    <w:p>
      <w:pPr>
        <w:pStyle w:val="Heading2"/>
      </w:pPr>
      <w:r>
        <w:t>04 Конструкторское бюро в колледже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Формат конструкторского бюро на принятом в работу заказе предприятия и предложение по его статусу в СПО.</w:t>
      </w:r>
    </w:p>
    <w:p>
      <w:pPr>
        <w:pStyle w:val="Heading2"/>
      </w:pPr>
      <w:r>
        <w:t>05 Опережающая подготовка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Обновление подготовки под складывающийся технологический пакет вместе с отраслевым партнёром.</w:t>
      </w:r>
    </w:p>
    <w:p>
      <w:pPr>
        <w:pStyle w:val="Heading2"/>
      </w:pPr>
      <w:r>
        <w:t>06 Колледж как опора карьеры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ДПО для работающих людей, возвращение выпускников и продуктовая линейка под спрос территории.</w:t>
      </w:r>
    </w:p>
    <w:p>
      <w:pPr>
        <w:spacing w:after="40" w:line="264" w:lineRule="auto"/>
      </w:pPr>
      <w:r>
        <w:rPr>
          <w:rFonts w:ascii="Arial" w:hAnsi="Arial" w:cs="Arial" w:eastAsia="Arial"/>
          <w:b/>
          <w:color w:val="24873D"/>
          <w:sz w:val="20"/>
        </w:rPr>
        <w:t>Связь с моей темой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pStyle w:val="Heading1"/>
      </w:pPr>
      <w:r>
        <w:t>Проектные темы программы продолжение</w:t>
      </w:r>
    </w:p>
    <w:p>
      <w:pPr>
        <w:pStyle w:val="Heading2"/>
      </w:pPr>
      <w:r>
        <w:t>07 Колледж в опорном городе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Типология опорных городов края и роль колледжа в своём типе, включая расчёт по Канску.</w:t>
      </w:r>
    </w:p>
    <w:p>
      <w:pPr>
        <w:pStyle w:val="Heading2"/>
      </w:pPr>
      <w:r>
        <w:t>08 Колледж с готовой инфраструктурой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Наполнение готовой инфраструктуры содержанием, партнёрами и устойчивой загрузкой.</w:t>
      </w:r>
    </w:p>
    <w:p>
      <w:pPr>
        <w:pStyle w:val="Heading2"/>
      </w:pPr>
      <w:r>
        <w:t>09 Колледж как центр развития территории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Участие колледжа в развитии муниципалитета и подготовке кадров под его отраслевую повестку.</w:t>
      </w:r>
    </w:p>
    <w:p>
      <w:pPr>
        <w:pStyle w:val="Heading2"/>
      </w:pPr>
      <w:r>
        <w:t>10 Колледж отраслевого кластера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Распределение подготовки между колледжами под кадровый запрос связанных предприятий.</w:t>
      </w:r>
    </w:p>
    <w:p>
      <w:pPr>
        <w:pStyle w:val="Heading2"/>
      </w:pPr>
      <w:r>
        <w:t>11 Экономика колледжа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Расчёт источников дохода до чистого результата и инструмент экономики колледжа.</w:t>
      </w:r>
    </w:p>
    <w:p>
      <w:pPr>
        <w:pStyle w:val="Heading2"/>
      </w:pPr>
      <w:r>
        <w:t>12 Траектория инженерного мышления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Непрерывное технологическое образование со школой технологий и измеримым инженерным мышлением.</w:t>
      </w:r>
    </w:p>
    <w:p>
      <w:pPr>
        <w:spacing w:after="40" w:line="264" w:lineRule="auto"/>
      </w:pPr>
      <w:r>
        <w:rPr>
          <w:rFonts w:ascii="Arial" w:hAnsi="Arial" w:cs="Arial" w:eastAsia="Arial"/>
          <w:b/>
          <w:color w:val="24873D"/>
          <w:sz w:val="20"/>
        </w:rPr>
        <w:t>Связь с моей темой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spacing w:after="100" w:line="264" w:lineRule="auto"/>
      </w:pPr>
      <w:r>
        <w:rPr>
          <w:rFonts w:ascii="Arial" w:hAnsi="Arial" w:cs="Arial" w:eastAsia="Arial"/>
          <w:b/>
          <w:color w:val="24873D"/>
          <w:sz w:val="20"/>
        </w:rPr>
        <w:t>МОДУЛЬ 01</w:t>
      </w:r>
    </w:p>
    <w:p>
      <w:pPr>
        <w:pStyle w:val="Heading1"/>
      </w:pPr>
      <w:r>
        <w:t>Экономика Красноярского края и новая роль СПО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2074340" cy="25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434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Смысловая опора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Экономика края задаёт спрос на кадры и технологии. Команда рассматривает колледж как участника региональной экономики и уточняет, какой формат работы она может изменить. Наблюдения на предприятиях помогают отделить факты от предположений.</w:t>
      </w:r>
    </w:p>
    <w:p>
      <w:pPr>
        <w:pStyle w:val="Heading2"/>
      </w:pPr>
      <w:r>
        <w:t>Вопросы к своей теме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Какой технологический или кадровый запрос важен для нашей темы?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Что визит на площадку изменил в границах проекта?</w:t>
      </w:r>
    </w:p>
    <w:p>
      <w:pPr>
        <w:pStyle w:val="Heading2"/>
      </w:pPr>
      <w:r>
        <w:t>Материал для проекта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Предварительная рамка темы, уточнённые границы и образ результата, гипотезы и план их проверки.</w:t>
      </w:r>
    </w:p>
    <w:p>
      <w:pPr>
        <w:pStyle w:val="Heading2"/>
      </w:pPr>
      <w:r>
        <w:t>Тезисы лекции и выводы для команды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spacing w:after="100" w:line="264" w:lineRule="auto"/>
      </w:pPr>
      <w:r>
        <w:rPr>
          <w:rFonts w:ascii="Arial" w:hAnsi="Arial" w:cs="Arial" w:eastAsia="Arial"/>
          <w:b/>
          <w:color w:val="24873D"/>
          <w:sz w:val="20"/>
        </w:rPr>
        <w:t>МОДУЛЬ 02</w:t>
      </w:r>
    </w:p>
    <w:p>
      <w:pPr>
        <w:pStyle w:val="Heading1"/>
      </w:pPr>
      <w:r>
        <w:t>СПО как часть экосистемы: школа - колледж - вуз - индустрия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2074340" cy="25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434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Смысловая опора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Экосистема связывает школу, колледж, университет и индустрию. Для проекта важны реальные переходы человека, обмен ресурсами и роли партнёров. Команда ищет место колледжа в этой системе и условия устойчивого взаимодействия.</w:t>
      </w:r>
    </w:p>
    <w:p>
      <w:pPr>
        <w:pStyle w:val="Heading2"/>
      </w:pPr>
      <w:r>
        <w:t>Вопросы к своей теме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Где находится колледж в профессиональном маршруте человека?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Какие ресурсы и решения требуют совместной работы с партнёрами?</w:t>
      </w:r>
    </w:p>
    <w:p>
      <w:pPr>
        <w:pStyle w:val="Heading2"/>
      </w:pPr>
      <w:r>
        <w:t>Материал для проекта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Карта участников и связей по теме, уточнённая позиция команды по своему формату работы.</w:t>
      </w:r>
    </w:p>
    <w:p>
      <w:pPr>
        <w:pStyle w:val="Heading2"/>
      </w:pPr>
      <w:r>
        <w:t>Тезисы лекции и выводы для команды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spacing w:after="100" w:line="264" w:lineRule="auto"/>
      </w:pPr>
      <w:r>
        <w:rPr>
          <w:rFonts w:ascii="Arial" w:hAnsi="Arial" w:cs="Arial" w:eastAsia="Arial"/>
          <w:b/>
          <w:color w:val="24873D"/>
          <w:sz w:val="20"/>
        </w:rPr>
        <w:t>МОДУЛЬ 03</w:t>
      </w:r>
    </w:p>
    <w:p>
      <w:pPr>
        <w:pStyle w:val="Heading1"/>
      </w:pPr>
      <w:r>
        <w:t>Передовые технологии для СПО: технологические пакеты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2074340" cy="25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7434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Смысловая опора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Технологический пакет объединяет взаимосвязанные передовые решения отрасли. Колледж вместе с партнёром определяет, что меняется в технологии и каких действий потребует работа специалистов. Содержание подготовки опирается на оборудование, его версии и компетенции преподавателей.</w:t>
      </w:r>
    </w:p>
    <w:p>
      <w:pPr>
        <w:pStyle w:val="Heading2"/>
      </w:pPr>
      <w:r>
        <w:t>Вопросы к своей теме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Какую смену технологических решений подтверждает партнёр?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Что нужно изменить в содержании подготовки и инфраструктуре?</w:t>
      </w:r>
    </w:p>
    <w:p>
      <w:pPr>
        <w:pStyle w:val="Heading2"/>
      </w:pPr>
      <w:r>
        <w:t>Материал для проекта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Основания выбора технологии и требований к подготовке, материал для технологического паспорта программ.</w:t>
      </w:r>
    </w:p>
    <w:p>
      <w:pPr>
        <w:pStyle w:val="Heading2"/>
      </w:pPr>
      <w:r>
        <w:t>Тезисы лекции и выводы для команды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spacing w:after="100" w:line="264" w:lineRule="auto"/>
      </w:pPr>
      <w:r>
        <w:rPr>
          <w:rFonts w:ascii="Arial" w:hAnsi="Arial" w:cs="Arial" w:eastAsia="Arial"/>
          <w:b/>
          <w:color w:val="24873D"/>
          <w:sz w:val="20"/>
        </w:rPr>
        <w:t>МОДУЛЬ 04</w:t>
      </w:r>
    </w:p>
    <w:p>
      <w:pPr>
        <w:pStyle w:val="Heading1"/>
      </w:pPr>
      <w:r>
        <w:t>Форматы взаимодействия: от разовых договоров к моделям партнерства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2074340" cy="25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7434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Смысловая опора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Партнёрство строится на конкретных ролях и общих действиях. Команда описывает, кто формулирует запрос, предоставляет ресурс, принимает работу и подтверждает результат. Формат должен действовать после завершения отдельной встречи или договора.</w:t>
      </w:r>
    </w:p>
    <w:p>
      <w:pPr>
        <w:pStyle w:val="Heading2"/>
      </w:pPr>
      <w:r>
        <w:t>Вопросы к своей теме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Что делает каждый партнёр и чем подтверждает участие?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Кто принимает результат и по каким критериям?</w:t>
      </w:r>
    </w:p>
    <w:p>
      <w:pPr>
        <w:pStyle w:val="Heading2"/>
      </w:pPr>
      <w:r>
        <w:t>Материал для проекта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Описанный порядок взаимодействия и договорённости, на которых держится проверка проектного формата.</w:t>
      </w:r>
    </w:p>
    <w:p>
      <w:pPr>
        <w:pStyle w:val="Heading2"/>
      </w:pPr>
      <w:r>
        <w:t>Тезисы лекции и выводы для команды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spacing w:after="100" w:line="264" w:lineRule="auto"/>
      </w:pPr>
      <w:r>
        <w:rPr>
          <w:rFonts w:ascii="Arial" w:hAnsi="Arial" w:cs="Arial" w:eastAsia="Arial"/>
          <w:b/>
          <w:color w:val="24873D"/>
          <w:sz w:val="20"/>
        </w:rPr>
        <w:t>МОДУЛЬ 05</w:t>
      </w:r>
    </w:p>
    <w:p>
      <w:pPr>
        <w:pStyle w:val="Heading1"/>
      </w:pPr>
      <w:r>
        <w:t>Экономика и маркетинг: бережливый колледж, набор, устойчивость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2074340" cy="25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34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Смысловая опора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Устойчивость колледжа требует понимания доходов, расходов и загрузки ресурсов. Бережливый подход начинается с замера потерь. Команда связывает изменения процессов, образовательные продукты и экономику проекта с измеримым результатом.</w:t>
      </w:r>
    </w:p>
    <w:p>
      <w:pPr>
        <w:pStyle w:val="Heading2"/>
      </w:pPr>
      <w:r>
        <w:t>Вопросы к своей теме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Какой процесс или источник дохода нужно посчитать до конца?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Как изменится загрузка ресурсов и что покажет замер до и после?</w:t>
      </w:r>
    </w:p>
    <w:p>
      <w:pPr>
        <w:pStyle w:val="Heading2"/>
      </w:pPr>
      <w:r>
        <w:t>Материал для проекта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Расчёт экономики выбранного решения и доказательства изменения процесса или использования ресурсов.</w:t>
      </w:r>
    </w:p>
    <w:p>
      <w:pPr>
        <w:pStyle w:val="Heading2"/>
      </w:pPr>
      <w:r>
        <w:t>Тезисы лекции и выводы для команды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spacing w:after="100" w:line="264" w:lineRule="auto"/>
      </w:pPr>
      <w:r>
        <w:rPr>
          <w:rFonts w:ascii="Arial" w:hAnsi="Arial" w:cs="Arial" w:eastAsia="Arial"/>
          <w:b/>
          <w:color w:val="24873D"/>
          <w:sz w:val="20"/>
        </w:rPr>
        <w:t>МОДУЛЬ 06</w:t>
      </w:r>
    </w:p>
    <w:p>
      <w:pPr>
        <w:pStyle w:val="Heading1"/>
      </w:pPr>
      <w:r>
        <w:t>Кадры для СПО и финальная сборка дорожных карт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2074340" cy="25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434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Смысловая опора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Работающий формат зависит от людей, распределения ответственности и подготовки команды. На завершающем этапе результаты проверок складываются в дорожную карту. Команда описывает условия запуска, ограничения и ресурсы для переноса решения в другие колледжи.</w:t>
      </w:r>
    </w:p>
    <w:p>
      <w:pPr>
        <w:pStyle w:val="Heading2"/>
      </w:pPr>
      <w:r>
        <w:t>Вопросы к своей теме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Какие роли и компетенции нужны для устойчивой работы формата?</w:t>
      </w:r>
    </w:p>
    <w:p>
      <w:pPr>
        <w:spacing w:after="8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Сможет ли другой колледж повторить его без участия авторов?</w:t>
      </w:r>
    </w:p>
    <w:p>
      <w:pPr>
        <w:pStyle w:val="Heading2"/>
      </w:pPr>
      <w:r>
        <w:t>Материал для проекта</w:t>
      </w:r>
    </w:p>
    <w:p>
      <w:pPr>
        <w:spacing w:after="120" w:line="264" w:lineRule="auto"/>
      </w:pPr>
      <w:r>
        <w:rPr>
          <w:rFonts w:ascii="Arial" w:hAnsi="Arial" w:cs="Arial" w:eastAsia="Arial"/>
          <w:b w:val="0"/>
          <w:color w:val="0A233D"/>
          <w:sz w:val="21"/>
        </w:rPr>
        <w:t>Дорожная карта и паспорт формата с подтверждением результата и условиями переноса.</w:t>
      </w:r>
    </w:p>
    <w:p>
      <w:pPr>
        <w:pStyle w:val="Heading2"/>
      </w:pPr>
      <w:r>
        <w:t>Тезисы лекции и выводы для команды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pStyle w:val="Heading1"/>
      </w:pPr>
      <w:r>
        <w:t>Паспорт работающего формата</w:t>
      </w:r>
    </w:p>
    <w:p>
      <w:pPr>
        <w:spacing w:after="10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На защите команда показывает формат работы, проверку на своей базе и условия его повторения в другом колледже. Расчёты, замеры и документы подтверждают работоспособность решения.</w:t>
      </w:r>
    </w:p>
    <w:p>
      <w:pPr>
        <w:pStyle w:val="Heading2"/>
      </w:pPr>
      <w:r>
        <w:t>Что устроено по новому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pStyle w:val="Heading2"/>
      </w:pPr>
      <w:r>
        <w:t>Как проверили на своей базе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pStyle w:val="Heading2"/>
      </w:pPr>
      <w:r>
        <w:t>Условия входа и границы применения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pStyle w:val="Heading2"/>
      </w:pPr>
      <w:r>
        <w:t>Документы роли и ресурсы для переноса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pStyle w:val="Heading2"/>
      </w:pPr>
      <w:r>
        <w:t>Чем подтверждается результат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r>
        <w:br w:type="page"/>
      </w:r>
    </w:p>
    <w:p>
      <w:pPr>
        <w:pStyle w:val="Heading1"/>
      </w:pPr>
      <w:r>
        <w:t>Запись лекции</w:t>
      </w:r>
    </w:p>
    <w:p>
      <w:pPr>
        <w:spacing w:after="16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Тема __________________________________________________</w:t>
      </w:r>
    </w:p>
    <w:p>
      <w:pPr>
        <w:spacing w:after="240" w:line="264" w:lineRule="auto"/>
      </w:pPr>
      <w:r>
        <w:rPr>
          <w:rFonts w:ascii="Arial" w:hAnsi="Arial" w:cs="Arial" w:eastAsia="Arial"/>
          <w:b w:val="0"/>
          <w:color w:val="0A233D"/>
          <w:sz w:val="22"/>
        </w:rPr>
        <w:t>Лектор _______________________  Дата ___________________</w:t>
      </w:r>
    </w:p>
    <w:p>
      <w:pPr>
        <w:pStyle w:val="Heading2"/>
      </w:pPr>
      <w:r>
        <w:t>Основные тезисы и факты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pStyle w:val="Heading2"/>
      </w:pPr>
      <w:r>
        <w:t>Что меняется в нашем проекте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pStyle w:val="Heading2"/>
      </w:pPr>
      <w:r>
        <w:t>Вопрос партнёру и следующий шаг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p>
      <w:pPr>
        <w:spacing w:after="140" w:line="240" w:lineRule="auto"/>
        <w:pBdr>
          <w:bottom w:val="single" w:sz="3" w:color="DDE6DF"/>
          <w:between w:val="single" w:sz="3" w:color="DDE6DF"/>
        </w:pBdr>
      </w:pPr>
      <w:r>
        <w:rPr>
          <w:rFonts w:ascii="Arial" w:hAnsi="Arial" w:cs="Arial" w:eastAsia="Arial"/>
          <w:b w:val="0"/>
          <w:color w:val="0A233D"/>
          <w:sz w:val="22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64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5400000" cy="70615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Логотипы организаторов и партнёров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0" cy="706154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rFonts w:ascii="Arial" w:hAnsi="Arial" w:cs="Arial" w:eastAsia="Arial"/>
        <w:b w:val="0"/>
        <w:color w:val="59666E"/>
        <w:sz w:val="16"/>
      </w:rPr>
      <w:t xml:space="preserve">Флагманы СПО  /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cs="Arial" w:eastAsia="Arial"/>
        <w:b/>
        <w:color w:val="24873D"/>
        <w:sz w:val="17"/>
      </w:rPr>
      <w:t>ФЛАГМАНЫ СПО</w:t>
    </w:r>
    <w:r>
      <w:rPr>
        <w:rFonts w:ascii="Arial" w:hAnsi="Arial" w:cs="Arial" w:eastAsia="Arial"/>
        <w:b w:val="0"/>
        <w:color w:val="0A233D"/>
        <w:sz w:val="15"/>
      </w:rPr>
      <w:t xml:space="preserve">     ТЕХНОЛОГИЧЕСКОЕ ЛИДЕРСТВО     КРАСНОЯРСКИЙ КРАЙ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9" w:lineRule="auto" w:after="160"/>
    </w:pPr>
    <w:rPr>
      <w:rFonts w:ascii="Arial" w:hAnsi="Arial"/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лекций Флагманы СПО</dc:title>
  <dc:subject>Рабочая тетрадь по программе</dc:subject>
  <dc:creator>Программа Флагманы СПО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